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Техническое задание №1.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14.03.2019.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0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8187"/>
      </w:tblGrid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 работ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Изготовление макета стаканов с нанесением 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Объём стакана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мл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 стакана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Полипропилен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Нанесение отметок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Шкала, логотип, </w:t>
            </w:r>
            <w:r>
              <w:rPr>
                <w:sz w:val="28"/>
                <w:szCs w:val="28"/>
              </w:rPr>
              <w:t xml:space="preserve">единицы измерения, </w:t>
            </w:r>
            <w:r>
              <w:rPr>
                <w:sz w:val="28"/>
                <w:szCs w:val="28"/>
              </w:rPr>
              <w:t xml:space="preserve">торговое наименование реактива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нанесения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Шелкография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нанесения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Черный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Шрифт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нанесения букв и цифр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Arial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нанесения букв и цифр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усмотрение исполнителя, соблюдая эстетические нормы восприятия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847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ШКАЛА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Минимальное значение шкалы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значение шкалы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деления шкалы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раммы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Погрешность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10%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847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ЛОГОТИП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расположения логотипа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Слева от шкалы</w:t>
            </w:r>
            <w:r>
              <w:rPr>
                <w:color w:val="000000"/>
                <w:sz w:val="28"/>
              </w:rPr>
              <w:t xml:space="preserve">, на усмотрение исполнителя, </w:t>
            </w:r>
            <w:r>
              <w:rPr>
                <w:sz w:val="28"/>
                <w:szCs w:val="28"/>
              </w:rPr>
              <w:t xml:space="preserve">соблюдая эстетические нормы восприятия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логотипа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На усмотрение исполнителя, </w:t>
            </w:r>
            <w:r>
              <w:rPr>
                <w:sz w:val="28"/>
                <w:szCs w:val="28"/>
              </w:rPr>
              <w:t xml:space="preserve">соблюдая эстетические нормы восприятия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847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ТОРГОВОЕ НАИМЕНОВАНИЕ РЕАКТИВА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 наименования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ТРИММЕР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текста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Только заглавные буквы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положения наименования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Вдоль шкалы слева, вертикальное расположение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Заказчик проин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ормирован, что невозможно обеспечить высокую точность измерений посредство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данного изделия, т.к. </w:t>
      </w:r>
      <w:r>
        <w:rPr>
          <w:sz w:val="28"/>
          <w:szCs w:val="28"/>
        </w:rPr>
        <w:t xml:space="preserve">вещество, предлагаемое к </w:t>
      </w:r>
      <w:r>
        <w:rPr>
          <w:sz w:val="28"/>
          <w:szCs w:val="28"/>
        </w:rPr>
        <w:t xml:space="preserve">измерению</w:t>
      </w:r>
      <w:r>
        <w:rPr>
          <w:sz w:val="28"/>
          <w:szCs w:val="28"/>
        </w:rPr>
        <w:t xml:space="preserve">, имеет очень разнородный гранулометрический состав, </w:t>
      </w:r>
      <w:r>
        <w:rPr>
          <w:sz w:val="28"/>
          <w:szCs w:val="28"/>
        </w:rPr>
        <w:t xml:space="preserve">а также нестабильно (меняется размер частиц)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 механическом воздействии.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Cs w:val="24"/>
        </w:rPr>
      </w:pPr>
      <w:r>
        <w:rPr>
          <w:b/>
          <w:szCs w:val="28"/>
        </w:rPr>
        <w:t xml:space="preserve">Со стороны Заказчика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4"/>
        </w:rPr>
        <w:t xml:space="preserve">С</w:t>
      </w:r>
      <w:r>
        <w:rPr>
          <w:b/>
          <w:szCs w:val="24"/>
        </w:rPr>
        <w:t xml:space="preserve">о стороны Поставщика</w:t>
      </w:r>
      <w:r>
        <w:rPr>
          <w:szCs w:val="24"/>
        </w:rPr>
      </w:r>
    </w:p>
    <w:p>
      <w:pPr>
        <w:jc w:val="both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Генеральный директор ООО «ЭКРОСХИМ»</w:t>
      </w:r>
      <w:r>
        <w:rPr>
          <w:szCs w:val="24"/>
        </w:rPr>
      </w:r>
    </w:p>
    <w:p>
      <w:pPr>
        <w:jc w:val="both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Арапов В. О. </w:t>
      </w:r>
      <w:r>
        <w:rPr>
          <w:szCs w:val="24"/>
        </w:rPr>
      </w:r>
    </w:p>
    <w:sectPr>
      <w:headerReference w:type="default" r:id="rId9"/>
      <w:footnotePr/>
      <w:endnotePr/>
      <w:type w:val="nextPage"/>
      <w:pgSz w:w="11907" w:h="16840" w:orient="portrait"/>
      <w:pgMar w:top="151" w:right="709" w:bottom="426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Gisha">
    <w:panose1 w:val="020B050302020402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597" w:type="dxa"/>
      <w:jc w:val="center"/>
      <w:tblInd w:w="214" w:type="dxa"/>
      <w:tblLayout w:type="fixed"/>
      <w:tblLook w:val="01E0" w:firstRow="1" w:lastRow="1" w:firstColumn="1" w:lastColumn="1" w:noHBand="0" w:noVBand="0"/>
    </w:tblPr>
    <w:tblGrid>
      <w:gridCol w:w="5528"/>
      <w:gridCol w:w="5069"/>
    </w:tblGrid>
    <w:tr>
      <w:tblPrEx/>
      <w:trPr>
        <w:jc w:val="center"/>
        <w:trHeight w:val="235"/>
      </w:trPr>
      <w:tc>
        <w:tcPr>
          <w:tcBorders>
            <w:bottom w:val="single" w:color="00B050" w:sz="24" w:space="0"/>
          </w:tcBorders>
          <w:tcMar>
            <w:left w:w="57" w:type="dxa"/>
            <w:right w:w="57" w:type="dxa"/>
          </w:tcMar>
          <w:tcW w:w="5528" w:type="dxa"/>
          <w:vAlign w:val="center"/>
          <w:vMerge w:val="restart"/>
          <w:textDirection w:val="lrTb"/>
          <w:noWrap/>
        </w:tcPr>
        <w:p>
          <w:pPr>
            <w:jc w:val="center"/>
            <w:rPr>
              <w:rFonts w:asciiTheme="minorHAnsi" w:hAnsiTheme="minorHAnsi"/>
              <w:szCs w:val="24"/>
            </w:rPr>
          </w:pPr>
          <w:r>
            <w:rPr>
              <w:rFonts w:asciiTheme="minorHAnsi" w:hAnsiTheme="minorHAnsi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3429000" cy="819150"/>
                    <wp:effectExtent l="0" t="0" r="0" b="0"/>
                    <wp:docPr id="1" name="Рисунок 2" descr="Лого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Лого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4290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70.00pt;height:64.5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Theme="minorHAnsi" w:hAnsiTheme="minorHAnsi"/>
              <w:szCs w:val="24"/>
            </w:rPr>
          </w:r>
        </w:p>
      </w:tc>
      <w:tc>
        <w:tcPr>
          <w:tcW w:w="5069" w:type="dxa"/>
          <w:textDirection w:val="lrTb"/>
          <w:noWrap w:val="false"/>
        </w:tcPr>
        <w:p>
          <w:pPr>
            <w:jc w:val="center"/>
            <w:spacing w:line="260" w:lineRule="exact"/>
            <w:widowControl w:val="off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Общество с ограниченной ответственностью</w:t>
          </w:r>
          <w:r>
            <w:rPr>
              <w:rFonts w:asciiTheme="minorHAnsi" w:hAnsiTheme="minorHAnsi"/>
              <w:b/>
              <w:sz w:val="28"/>
              <w:szCs w:val="28"/>
            </w:rPr>
          </w:r>
        </w:p>
        <w:p>
          <w:pPr>
            <w:jc w:val="center"/>
            <w:spacing w:line="260" w:lineRule="exact"/>
            <w:widowControl w:val="off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 xml:space="preserve">«</w:t>
          </w:r>
          <w:r>
            <w:rPr>
              <w:rFonts w:asciiTheme="minorHAnsi" w:hAnsiTheme="minorHAnsi"/>
              <w:b/>
              <w:szCs w:val="24"/>
            </w:rPr>
            <w:t xml:space="preserve">ЭКРОСХИМ</w:t>
          </w:r>
          <w:r>
            <w:rPr>
              <w:rFonts w:asciiTheme="minorHAnsi" w:hAnsiTheme="minorHAnsi"/>
              <w:b/>
              <w:sz w:val="28"/>
              <w:szCs w:val="28"/>
            </w:rPr>
            <w:t xml:space="preserve">»</w:t>
          </w:r>
          <w:r>
            <w:rPr>
              <w:rFonts w:asciiTheme="minorHAnsi" w:hAnsiTheme="minorHAnsi"/>
              <w:b/>
              <w:sz w:val="28"/>
              <w:szCs w:val="28"/>
            </w:rPr>
          </w:r>
        </w:p>
      </w:tc>
    </w:tr>
    <w:tr>
      <w:tblPrEx/>
      <w:trPr>
        <w:jc w:val="center"/>
        <w:trHeight w:val="232"/>
      </w:trPr>
      <w:tc>
        <w:tcPr>
          <w:tcBorders>
            <w:bottom w:val="single" w:color="00B050" w:sz="24" w:space="0"/>
          </w:tcBorders>
          <w:tcMar>
            <w:left w:w="57" w:type="dxa"/>
            <w:right w:w="57" w:type="dxa"/>
          </w:tcMar>
          <w:tcW w:w="5528" w:type="dxa"/>
          <w:vAlign w:val="center"/>
          <w:vMerge w:val="continue"/>
          <w:textDirection w:val="lrTb"/>
          <w:noWrap/>
        </w:tcPr>
        <w:p>
          <w:pPr>
            <w:jc w:val="center"/>
            <w:rPr>
              <w:rFonts w:asciiTheme="minorHAnsi" w:hAnsiTheme="minorHAnsi"/>
              <w:szCs w:val="24"/>
            </w:rPr>
          </w:pPr>
          <w:r>
            <w:rPr>
              <w:rFonts w:asciiTheme="minorHAnsi" w:hAnsiTheme="minorHAnsi"/>
              <w:szCs w:val="24"/>
            </w:rPr>
          </w:r>
          <w:r>
            <w:rPr>
              <w:rFonts w:asciiTheme="minorHAnsi" w:hAnsiTheme="minorHAnsi"/>
              <w:szCs w:val="24"/>
            </w:rPr>
          </w:r>
        </w:p>
      </w:tc>
      <w:tc>
        <w:tcPr>
          <w:tcW w:w="5069" w:type="dxa"/>
          <w:vAlign w:val="center"/>
          <w:textDirection w:val="lrTb"/>
          <w:noWrap w:val="false"/>
        </w:tcPr>
        <w:p>
          <w:pPr>
            <w:ind w:left="-108" w:right="-108"/>
            <w:jc w:val="center"/>
            <w:rPr>
              <w:rFonts w:cs="Gisha" w:asciiTheme="minorHAnsi" w:hAnsiTheme="minorHAnsi"/>
              <w:sz w:val="18"/>
              <w:szCs w:val="18"/>
            </w:rPr>
          </w:pPr>
          <w:r>
            <w:rPr>
              <w:rFonts w:cs="Gisha" w:asciiTheme="minorHAnsi" w:hAnsiTheme="minorHAnsi"/>
              <w:sz w:val="18"/>
              <w:szCs w:val="18"/>
            </w:rPr>
            <w:t xml:space="preserve">196006, г. Санкт-Петербург, ул. Коли </w:t>
          </w:r>
          <w:r>
            <w:rPr>
              <w:rFonts w:cs="Gisha" w:asciiTheme="minorHAnsi" w:hAnsiTheme="minorHAnsi"/>
              <w:sz w:val="18"/>
              <w:szCs w:val="18"/>
            </w:rPr>
            <w:t xml:space="preserve">Томчака</w:t>
          </w:r>
          <w:r>
            <w:rPr>
              <w:rFonts w:cs="Gisha" w:asciiTheme="minorHAnsi" w:hAnsiTheme="minorHAnsi"/>
              <w:sz w:val="18"/>
              <w:szCs w:val="18"/>
            </w:rPr>
            <w:t xml:space="preserve">, д. 25, литера</w:t>
          </w:r>
          <w:r>
            <w:rPr>
              <w:rFonts w:cs="Gisha" w:asciiTheme="minorHAnsi" w:hAnsiTheme="minorHAnsi"/>
              <w:sz w:val="18"/>
              <w:szCs w:val="18"/>
            </w:rPr>
            <w:t xml:space="preserve"> Ж</w:t>
          </w:r>
          <w:r>
            <w:rPr>
              <w:rFonts w:cs="Gisha" w:asciiTheme="minorHAnsi" w:hAnsiTheme="minorHAnsi"/>
              <w:sz w:val="18"/>
              <w:szCs w:val="18"/>
            </w:rPr>
          </w:r>
        </w:p>
        <w:p>
          <w:pPr>
            <w:ind w:left="-108" w:right="-108"/>
            <w:jc w:val="center"/>
            <w:rPr>
              <w:rFonts w:cs="Gisha" w:asciiTheme="minorHAnsi" w:hAnsiTheme="minorHAnsi"/>
              <w:sz w:val="18"/>
              <w:szCs w:val="18"/>
            </w:rPr>
          </w:pPr>
          <w:r>
            <w:rPr>
              <w:rFonts w:cs="Arial" w:asciiTheme="minorHAnsi" w:hAnsiTheme="minorHAnsi"/>
              <w:sz w:val="18"/>
              <w:szCs w:val="18"/>
            </w:rPr>
            <w:t xml:space="preserve">Для</w:t>
          </w:r>
          <w:r>
            <w:rPr>
              <w:rFonts w:cs="Gisha" w:asciiTheme="minorHAnsi" w:hAnsiTheme="minorHAnsi"/>
              <w:sz w:val="18"/>
              <w:szCs w:val="18"/>
            </w:rPr>
            <w:t xml:space="preserve"> </w:t>
          </w:r>
          <w:r>
            <w:rPr>
              <w:rFonts w:cs="Arial" w:asciiTheme="minorHAnsi" w:hAnsiTheme="minorHAnsi"/>
              <w:sz w:val="18"/>
              <w:szCs w:val="18"/>
            </w:rPr>
            <w:t xml:space="preserve">писем</w:t>
          </w:r>
          <w:r>
            <w:rPr>
              <w:rFonts w:cs="Gisha" w:asciiTheme="minorHAnsi" w:hAnsiTheme="minorHAnsi"/>
              <w:sz w:val="18"/>
              <w:szCs w:val="18"/>
            </w:rPr>
            <w:t xml:space="preserve">: г. Санкт-Петербург, 199178, </w:t>
          </w:r>
          <w:r>
            <w:rPr>
              <w:rFonts w:cs="Arial" w:asciiTheme="minorHAnsi" w:hAnsiTheme="minorHAnsi"/>
              <w:sz w:val="18"/>
              <w:szCs w:val="18"/>
            </w:rPr>
            <w:t xml:space="preserve">а/я №55</w:t>
          </w:r>
          <w:r>
            <w:rPr>
              <w:rFonts w:cs="Gisha" w:asciiTheme="minorHAnsi" w:hAnsiTheme="minorHAnsi"/>
              <w:sz w:val="18"/>
              <w:szCs w:val="18"/>
            </w:rPr>
          </w:r>
        </w:p>
      </w:tc>
    </w:tr>
    <w:tr>
      <w:tblPrEx/>
      <w:trPr>
        <w:jc w:val="center"/>
        <w:trHeight w:val="466"/>
      </w:trPr>
      <w:tc>
        <w:tcPr>
          <w:tcBorders>
            <w:bottom w:val="single" w:color="00B050" w:sz="24" w:space="0"/>
          </w:tcBorders>
          <w:tcMar>
            <w:left w:w="57" w:type="dxa"/>
            <w:right w:w="57" w:type="dxa"/>
          </w:tcMar>
          <w:tcW w:w="5528" w:type="dxa"/>
          <w:vAlign w:val="center"/>
          <w:vMerge w:val="continue"/>
          <w:textDirection w:val="lrTb"/>
          <w:noWrap/>
        </w:tcPr>
        <w:p>
          <w:pPr>
            <w:jc w:val="center"/>
            <w:rPr>
              <w:rFonts w:asciiTheme="minorHAnsi" w:hAnsiTheme="minorHAnsi"/>
              <w:szCs w:val="24"/>
            </w:rPr>
          </w:pPr>
          <w:r>
            <w:rPr>
              <w:rFonts w:asciiTheme="minorHAnsi" w:hAnsiTheme="minorHAnsi"/>
              <w:szCs w:val="24"/>
            </w:rPr>
          </w:r>
          <w:r>
            <w:rPr>
              <w:rFonts w:asciiTheme="minorHAnsi" w:hAnsiTheme="minorHAnsi"/>
              <w:szCs w:val="24"/>
            </w:rPr>
          </w:r>
        </w:p>
      </w:tc>
      <w:tc>
        <w:tcPr>
          <w:tcW w:w="5069" w:type="dxa"/>
          <w:vAlign w:val="center"/>
          <w:textDirection w:val="lrTb"/>
          <w:noWrap w:val="false"/>
        </w:tcPr>
        <w:p>
          <w:pPr>
            <w:ind w:left="-108" w:right="-108"/>
            <w:jc w:val="center"/>
            <w:rPr>
              <w:rFonts w:cs="Gisha" w:asciiTheme="minorHAnsi" w:hAnsiTheme="minorHAnsi"/>
              <w:b/>
              <w:sz w:val="18"/>
              <w:szCs w:val="18"/>
              <w:u w:val="single"/>
              <w:lang w:val="en-US"/>
            </w:rPr>
          </w:pPr>
          <w:r>
            <w:rPr>
              <w:rFonts w:cs="Arial" w:asciiTheme="minorHAnsi" w:hAnsiTheme="minorHAnsi"/>
              <w:sz w:val="18"/>
              <w:szCs w:val="18"/>
            </w:rPr>
            <w:t xml:space="preserve">Телефон</w:t>
          </w:r>
          <w:r>
            <w:rPr>
              <w:rFonts w:cs="Gisha" w:asciiTheme="minorHAnsi" w:hAnsiTheme="minorHAnsi"/>
              <w:sz w:val="18"/>
              <w:szCs w:val="18"/>
              <w:lang w:val="en-US"/>
            </w:rPr>
            <w:t xml:space="preserve">/</w:t>
          </w:r>
          <w:r>
            <w:rPr>
              <w:rFonts w:cs="Arial" w:asciiTheme="minorHAnsi" w:hAnsiTheme="minorHAnsi"/>
              <w:sz w:val="18"/>
              <w:szCs w:val="18"/>
            </w:rPr>
            <w:t xml:space="preserve">Факс</w:t>
          </w:r>
          <w:r>
            <w:rPr>
              <w:rFonts w:cs="Gisha" w:asciiTheme="minorHAnsi" w:hAnsiTheme="minorHAnsi"/>
              <w:sz w:val="18"/>
              <w:szCs w:val="18"/>
              <w:lang w:val="en-US"/>
            </w:rPr>
            <w:t xml:space="preserve">: (812) 322-9600, 449-3122(23)</w:t>
          </w:r>
          <w:r>
            <w:rPr>
              <w:rFonts w:cs="Gisha" w:asciiTheme="minorHAnsi" w:hAnsiTheme="minorHAnsi"/>
              <w:sz w:val="18"/>
              <w:szCs w:val="18"/>
              <w:lang w:val="en-US"/>
            </w:rPr>
            <w:br/>
          </w:r>
          <w:r>
            <w:rPr>
              <w:rFonts w:ascii="Calibri" w:hAnsi="Calibri" w:cs="Gisha"/>
              <w:sz w:val="18"/>
              <w:szCs w:val="18"/>
              <w:lang w:val="en-US"/>
            </w:rPr>
            <w:t xml:space="preserve">E-mail: </w:t>
          </w:r>
          <w:hyperlink r:id="rId2" w:tooltip="mailto:info@ecohim.ru" w:history="1">
            <w:r>
              <w:rPr>
                <w:rStyle w:val="819"/>
                <w:rFonts w:ascii="Calibri" w:hAnsi="Calibri"/>
                <w:sz w:val="18"/>
                <w:szCs w:val="18"/>
                <w:lang w:val="en-US"/>
              </w:rPr>
              <w:t xml:space="preserve">info@ecohim.ru</w:t>
            </w:r>
          </w:hyperlink>
          <w:r>
            <w:rPr>
              <w:rFonts w:ascii="Calibri" w:hAnsi="Calibri" w:cs="Gisha"/>
              <w:sz w:val="18"/>
              <w:szCs w:val="18"/>
              <w:lang w:val="en-US"/>
            </w:rPr>
            <w:t xml:space="preserve">, Internet: </w:t>
          </w:r>
          <w:hyperlink r:id="rId3" w:tooltip="http://www.ecohim.ru" w:history="1">
            <w:r>
              <w:rPr>
                <w:rStyle w:val="819"/>
                <w:rFonts w:ascii="Calibri" w:hAnsi="Calibri"/>
                <w:sz w:val="18"/>
                <w:szCs w:val="18"/>
                <w:lang w:val="en-US"/>
              </w:rPr>
              <w:t xml:space="preserve">http://www.ecohim.ru</w:t>
            </w:r>
          </w:hyperlink>
          <w:r/>
          <w:r>
            <w:rPr>
              <w:rFonts w:cs="Gisha" w:asciiTheme="minorHAnsi" w:hAnsiTheme="minorHAnsi"/>
              <w:b/>
              <w:sz w:val="18"/>
              <w:szCs w:val="18"/>
              <w:u w:val="single"/>
              <w:lang w:val="en-US"/>
            </w:rPr>
          </w:r>
        </w:p>
      </w:tc>
    </w:tr>
    <w:tr>
      <w:tblPrEx/>
      <w:trPr>
        <w:jc w:val="center"/>
        <w:trHeight w:val="466"/>
      </w:trPr>
      <w:tc>
        <w:tcPr>
          <w:tcBorders>
            <w:bottom w:val="single" w:color="00B050" w:sz="24" w:space="0"/>
          </w:tcBorders>
          <w:tcMar>
            <w:left w:w="57" w:type="dxa"/>
            <w:right w:w="57" w:type="dxa"/>
          </w:tcMar>
          <w:tcW w:w="5528" w:type="dxa"/>
          <w:vAlign w:val="center"/>
          <w:vMerge w:val="continue"/>
          <w:textDirection w:val="lrTb"/>
          <w:noWrap/>
        </w:tcPr>
        <w:p>
          <w:pPr>
            <w:jc w:val="center"/>
            <w:rPr>
              <w:rFonts w:asciiTheme="minorHAnsi" w:hAnsiTheme="minorHAnsi"/>
              <w:szCs w:val="24"/>
              <w:lang w:val="en-US"/>
            </w:rPr>
          </w:pPr>
          <w:r>
            <w:rPr>
              <w:rFonts w:asciiTheme="minorHAnsi" w:hAnsiTheme="minorHAnsi"/>
              <w:szCs w:val="24"/>
              <w:lang w:val="en-US"/>
            </w:rPr>
          </w:r>
          <w:r>
            <w:rPr>
              <w:rFonts w:asciiTheme="minorHAnsi" w:hAnsiTheme="minorHAnsi"/>
              <w:szCs w:val="24"/>
              <w:lang w:val="en-US"/>
            </w:rPr>
          </w:r>
        </w:p>
      </w:tc>
      <w:tc>
        <w:tcPr>
          <w:tcBorders>
            <w:bottom w:val="single" w:color="00B050" w:sz="24" w:space="0"/>
          </w:tcBorders>
          <w:tcW w:w="5069" w:type="dxa"/>
          <w:vAlign w:val="center"/>
          <w:textDirection w:val="lrTb"/>
          <w:noWrap w:val="false"/>
        </w:tcPr>
        <w:p>
          <w:pPr>
            <w:ind w:left="-108" w:right="-108"/>
            <w:jc w:val="center"/>
            <w:rPr>
              <w:rFonts w:cs="Gisha" w:asciiTheme="minorHAnsi" w:hAnsiTheme="minorHAnsi"/>
              <w:sz w:val="18"/>
              <w:szCs w:val="18"/>
              <w:lang w:val="en-US"/>
            </w:rPr>
          </w:pPr>
          <w:r>
            <w:rPr>
              <w:rFonts w:cs="Arial" w:asciiTheme="minorHAnsi" w:hAnsiTheme="minorHAnsi"/>
              <w:sz w:val="18"/>
              <w:szCs w:val="18"/>
            </w:rPr>
            <w:t xml:space="preserve">ОКПО</w:t>
          </w:r>
          <w:r>
            <w:rPr>
              <w:rFonts w:cs="Gisha" w:asciiTheme="minorHAnsi" w:hAnsiTheme="minorHAnsi"/>
              <w:sz w:val="18"/>
              <w:szCs w:val="18"/>
              <w:lang w:val="en-US"/>
            </w:rPr>
            <w:t xml:space="preserve"> 56278322, </w:t>
          </w:r>
          <w:r>
            <w:rPr>
              <w:rFonts w:cs="Arial" w:asciiTheme="minorHAnsi" w:hAnsiTheme="minorHAnsi"/>
              <w:sz w:val="18"/>
              <w:szCs w:val="18"/>
            </w:rPr>
            <w:t xml:space="preserve">ОГРН</w:t>
          </w:r>
          <w:r>
            <w:rPr>
              <w:rFonts w:cs="Gisha" w:asciiTheme="minorHAnsi" w:hAnsiTheme="minorHAnsi"/>
              <w:sz w:val="18"/>
              <w:szCs w:val="18"/>
              <w:lang w:val="en-US"/>
            </w:rPr>
            <w:t xml:space="preserve"> 103782102</w:t>
          </w:r>
          <w:r>
            <w:rPr>
              <w:rFonts w:cs="Gisha" w:asciiTheme="minorHAnsi" w:hAnsiTheme="minorHAnsi"/>
              <w:sz w:val="18"/>
              <w:szCs w:val="18"/>
            </w:rPr>
            <w:t xml:space="preserve">4394,</w:t>
          </w:r>
          <w:r>
            <w:rPr>
              <w:rFonts w:cs="Gisha" w:asciiTheme="minorHAnsi" w:hAnsiTheme="minorHAnsi"/>
              <w:sz w:val="18"/>
              <w:szCs w:val="18"/>
            </w:rPr>
            <w:br/>
          </w:r>
          <w:r>
            <w:rPr>
              <w:rFonts w:ascii="Calibri" w:hAnsi="Calibri" w:cs="Arial"/>
              <w:sz w:val="18"/>
              <w:szCs w:val="18"/>
            </w:rPr>
            <w:t xml:space="preserve">ИНН</w:t>
          </w:r>
          <w:r>
            <w:rPr>
              <w:rFonts w:ascii="Calibri" w:hAnsi="Calibri" w:cs="Gisha"/>
              <w:sz w:val="18"/>
              <w:szCs w:val="18"/>
            </w:rPr>
            <w:t xml:space="preserve"> 7810235934, </w:t>
          </w:r>
          <w:r>
            <w:rPr>
              <w:rFonts w:ascii="Calibri" w:hAnsi="Calibri" w:cs="Arial"/>
              <w:sz w:val="18"/>
              <w:szCs w:val="18"/>
            </w:rPr>
            <w:t xml:space="preserve">КПП</w:t>
          </w:r>
          <w:r>
            <w:rPr>
              <w:rFonts w:ascii="Calibri" w:hAnsi="Calibri" w:cs="Gisha"/>
              <w:sz w:val="18"/>
              <w:szCs w:val="18"/>
              <w:lang w:val="en-US"/>
            </w:rPr>
            <w:t xml:space="preserve"> </w:t>
          </w:r>
          <w:r>
            <w:rPr>
              <w:rFonts w:ascii="Calibri" w:hAnsi="Calibri" w:cs="Gisha"/>
              <w:sz w:val="18"/>
              <w:szCs w:val="18"/>
            </w:rPr>
            <w:t xml:space="preserve">781001001</w:t>
          </w:r>
          <w:r>
            <w:rPr>
              <w:rFonts w:cs="Gisha" w:asciiTheme="minorHAnsi" w:hAnsiTheme="minorHAnsi"/>
              <w:sz w:val="18"/>
              <w:szCs w:val="18"/>
              <w:lang w:val="en-US"/>
            </w:rPr>
          </w:r>
        </w:p>
      </w:tc>
    </w:tr>
  </w:tbl>
  <w:p>
    <w:pPr>
      <w:pStyle w:val="821"/>
      <w:tabs>
        <w:tab w:val="clear" w:pos="4677" w:leader="none"/>
        <w:tab w:val="clear" w:pos="9355" w:leader="none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</w:r>
    <w:r>
      <w:rPr>
        <w:rFonts w:asciiTheme="minorHAnsi" w:hAnsiTheme="minorHAnsi"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Zero"/>
      <w:isLgl w:val="false"/>
      <w:suff w:val="tab"/>
      <w:lvlText w:val="%1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1">
      <w:start w:val="1"/>
      <w:numFmt w:val="decimalZero"/>
      <w:isLgl w:val="false"/>
      <w:suff w:val="tab"/>
      <w:lvlText w:val="%1.%2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2">
      <w:start w:val="98"/>
      <w:numFmt w:val="decimal"/>
      <w:isLgl w:val="false"/>
      <w:suff w:val="tab"/>
      <w:lvlText w:val="%1.%2.%3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760" w:hanging="5760"/>
        <w:tabs>
          <w:tab w:val="num" w:pos="576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 w:val="false"/>
      <w:suff w:val="tab"/>
      <w:lvlText w:val="%1.%2"/>
      <w:lvlJc w:val="left"/>
      <w:pPr>
        <w:ind w:left="1211" w:hanging="360"/>
      </w:pPr>
      <w:rPr>
        <w:rFonts w:hint="default" w:ascii="Times New Roman" w:hAnsi="Times New Roman" w:cs="Times New Roman"/>
        <w:i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2520" w:hanging="720"/>
      </w:pPr>
      <w:rPr>
        <w:rFonts w:hint="default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20" w:hanging="720"/>
      </w:pPr>
      <w:rPr>
        <w:rFonts w:hint="default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680" w:hanging="1080"/>
      </w:pPr>
      <w:rPr>
        <w:rFonts w:hint="default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580" w:hanging="1080"/>
      </w:pPr>
      <w:rPr>
        <w:rFonts w:hint="default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840" w:hanging="1440"/>
      </w:pPr>
      <w:rPr>
        <w:rFonts w:hint="default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40" w:hanging="1440"/>
      </w:pPr>
      <w:rPr>
        <w:rFonts w:hint="default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000" w:hanging="1800"/>
      </w:pPr>
      <w:rPr>
        <w:rFonts w:hint="default"/>
        <w:i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Zero"/>
      <w:isLgl w:val="false"/>
      <w:suff w:val="tab"/>
      <w:lvlText w:val="%1"/>
      <w:lvlJc w:val="left"/>
      <w:pPr>
        <w:ind w:left="840" w:hanging="840"/>
        <w:tabs>
          <w:tab w:val="num" w:pos="840" w:leader="none"/>
        </w:tabs>
      </w:pPr>
      <w:rPr>
        <w:rFonts w:hint="default"/>
      </w:rPr>
    </w:lvl>
    <w:lvl w:ilvl="1">
      <w:start w:val="1"/>
      <w:numFmt w:val="decimalZero"/>
      <w:isLgl w:val="false"/>
      <w:suff w:val="tab"/>
      <w:lvlText w:val="%1.%2"/>
      <w:lvlJc w:val="left"/>
      <w:pPr>
        <w:ind w:left="840" w:hanging="840"/>
        <w:tabs>
          <w:tab w:val="num" w:pos="840" w:leader="none"/>
        </w:tabs>
      </w:pPr>
      <w:rPr>
        <w:rFonts w:hint="default"/>
      </w:rPr>
    </w:lvl>
    <w:lvl w:ilvl="2">
      <w:start w:val="98"/>
      <w:numFmt w:val="decimal"/>
      <w:isLgl w:val="false"/>
      <w:suff w:val="tab"/>
      <w:lvlText w:val="%1.%2.%3"/>
      <w:lvlJc w:val="left"/>
      <w:pPr>
        <w:ind w:left="840" w:hanging="840"/>
        <w:tabs>
          <w:tab w:val="num" w:pos="8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40" w:hanging="840"/>
        <w:tabs>
          <w:tab w:val="num" w:pos="84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810"/>
    <w:link w:val="80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810"/>
    <w:link w:val="80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810"/>
    <w:link w:val="80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06"/>
    <w:next w:val="80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1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06"/>
    <w:next w:val="80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1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06"/>
    <w:next w:val="80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1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06"/>
    <w:next w:val="80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1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06"/>
    <w:next w:val="80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1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06"/>
    <w:next w:val="80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1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06"/>
    <w:uiPriority w:val="34"/>
    <w:qFormat/>
    <w:pPr>
      <w:contextualSpacing/>
      <w:ind w:left="720"/>
    </w:pPr>
  </w:style>
  <w:style w:type="paragraph" w:styleId="35">
    <w:name w:val="Title"/>
    <w:basedOn w:val="806"/>
    <w:next w:val="80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10"/>
    <w:link w:val="35"/>
    <w:uiPriority w:val="10"/>
    <w:rPr>
      <w:sz w:val="48"/>
      <w:szCs w:val="48"/>
    </w:rPr>
  </w:style>
  <w:style w:type="paragraph" w:styleId="37">
    <w:name w:val="Subtitle"/>
    <w:basedOn w:val="806"/>
    <w:next w:val="80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10"/>
    <w:link w:val="37"/>
    <w:uiPriority w:val="11"/>
    <w:rPr>
      <w:sz w:val="24"/>
      <w:szCs w:val="24"/>
    </w:rPr>
  </w:style>
  <w:style w:type="paragraph" w:styleId="39">
    <w:name w:val="Quote"/>
    <w:basedOn w:val="806"/>
    <w:next w:val="80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06"/>
    <w:next w:val="80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10"/>
    <w:link w:val="821"/>
    <w:uiPriority w:val="99"/>
  </w:style>
  <w:style w:type="character" w:styleId="46">
    <w:name w:val="Footer Char"/>
    <w:basedOn w:val="810"/>
    <w:link w:val="823"/>
    <w:uiPriority w:val="99"/>
  </w:style>
  <w:style w:type="paragraph" w:styleId="47">
    <w:name w:val="Caption"/>
    <w:basedOn w:val="806"/>
    <w:next w:val="80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1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0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10"/>
    <w:uiPriority w:val="99"/>
    <w:unhideWhenUsed/>
    <w:rPr>
      <w:vertAlign w:val="superscript"/>
    </w:rPr>
  </w:style>
  <w:style w:type="paragraph" w:styleId="179">
    <w:name w:val="endnote text"/>
    <w:basedOn w:val="80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10"/>
    <w:uiPriority w:val="99"/>
    <w:semiHidden/>
    <w:unhideWhenUsed/>
    <w:rPr>
      <w:vertAlign w:val="superscript"/>
    </w:rPr>
  </w:style>
  <w:style w:type="paragraph" w:styleId="182">
    <w:name w:val="toc 1"/>
    <w:basedOn w:val="806"/>
    <w:next w:val="80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06"/>
    <w:next w:val="80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06"/>
    <w:next w:val="80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06"/>
    <w:next w:val="80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06"/>
    <w:next w:val="80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06"/>
    <w:next w:val="80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06"/>
    <w:next w:val="80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06"/>
    <w:next w:val="80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06"/>
    <w:next w:val="80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06"/>
    <w:next w:val="806"/>
    <w:uiPriority w:val="99"/>
    <w:unhideWhenUsed/>
    <w:pPr>
      <w:spacing w:after="0" w:afterAutospacing="0"/>
    </w:pPr>
  </w:style>
  <w:style w:type="paragraph" w:styleId="806" w:default="1">
    <w:name w:val="Normal"/>
    <w:qFormat/>
    <w:rPr>
      <w:sz w:val="24"/>
    </w:rPr>
  </w:style>
  <w:style w:type="paragraph" w:styleId="807">
    <w:name w:val="Heading 1"/>
    <w:basedOn w:val="806"/>
    <w:next w:val="806"/>
    <w:qFormat/>
    <w:pPr>
      <w:jc w:val="both"/>
      <w:keepNext/>
      <w:spacing w:line="360" w:lineRule="auto"/>
      <w:outlineLvl w:val="0"/>
    </w:pPr>
  </w:style>
  <w:style w:type="paragraph" w:styleId="808">
    <w:name w:val="Heading 2"/>
    <w:basedOn w:val="806"/>
    <w:next w:val="806"/>
    <w:qFormat/>
    <w:pPr>
      <w:jc w:val="center"/>
      <w:keepNext/>
      <w:spacing w:line="360" w:lineRule="auto"/>
      <w:outlineLvl w:val="1"/>
    </w:pPr>
    <w:rPr>
      <w:b/>
    </w:rPr>
  </w:style>
  <w:style w:type="paragraph" w:styleId="809">
    <w:name w:val="Heading 3"/>
    <w:basedOn w:val="806"/>
    <w:next w:val="806"/>
    <w:qFormat/>
    <w:pPr>
      <w:jc w:val="center"/>
      <w:keepNext/>
      <w:tabs>
        <w:tab w:val="left" w:pos="4536" w:leader="none"/>
      </w:tabs>
      <w:outlineLvl w:val="2"/>
    </w:pPr>
    <w:rPr>
      <w:b/>
      <w:sz w:val="28"/>
      <w:lang w:val="en-US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Body Text"/>
    <w:basedOn w:val="806"/>
    <w:pPr>
      <w:jc w:val="right"/>
    </w:pPr>
    <w:rPr>
      <w:rFonts w:ascii="Arial" w:hAnsi="Arial"/>
      <w:sz w:val="20"/>
    </w:rPr>
  </w:style>
  <w:style w:type="paragraph" w:styleId="814">
    <w:name w:val="Body Text Indent"/>
    <w:basedOn w:val="806"/>
    <w:pPr>
      <w:ind w:firstLine="720"/>
      <w:jc w:val="both"/>
    </w:pPr>
  </w:style>
  <w:style w:type="paragraph" w:styleId="815">
    <w:name w:val="Document Map"/>
    <w:basedOn w:val="806"/>
    <w:semiHidden/>
    <w:pPr>
      <w:shd w:val="clear" w:color="auto" w:fill="000080"/>
    </w:pPr>
    <w:rPr>
      <w:rFonts w:ascii="Tahoma" w:hAnsi="Tahoma"/>
    </w:rPr>
  </w:style>
  <w:style w:type="paragraph" w:styleId="816">
    <w:name w:val="Body Text 2"/>
    <w:basedOn w:val="806"/>
    <w:pPr>
      <w:jc w:val="both"/>
      <w:spacing w:line="360" w:lineRule="auto"/>
    </w:pPr>
  </w:style>
  <w:style w:type="paragraph" w:styleId="817">
    <w:name w:val="Body Text 3"/>
    <w:basedOn w:val="806"/>
    <w:pPr>
      <w:tabs>
        <w:tab w:val="left" w:pos="851" w:leader="none"/>
      </w:tabs>
    </w:pPr>
    <w:rPr>
      <w:sz w:val="28"/>
      <w:lang w:val="en-US"/>
    </w:rPr>
  </w:style>
  <w:style w:type="paragraph" w:styleId="818">
    <w:name w:val="Balloon Text"/>
    <w:basedOn w:val="806"/>
    <w:semiHidden/>
    <w:rPr>
      <w:rFonts w:ascii="Tahoma" w:hAnsi="Tahoma" w:cs="Tahoma"/>
      <w:sz w:val="16"/>
      <w:szCs w:val="16"/>
    </w:rPr>
  </w:style>
  <w:style w:type="character" w:styleId="819">
    <w:name w:val="Hyperlink"/>
    <w:uiPriority w:val="99"/>
    <w:rPr>
      <w:color w:val="0000ff"/>
      <w:u w:val="single"/>
    </w:rPr>
  </w:style>
  <w:style w:type="table" w:styleId="820">
    <w:name w:val="Table Grid"/>
    <w:basedOn w:val="8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1">
    <w:name w:val="Header"/>
    <w:basedOn w:val="806"/>
    <w:link w:val="822"/>
    <w:pPr>
      <w:tabs>
        <w:tab w:val="center" w:pos="4677" w:leader="none"/>
        <w:tab w:val="right" w:pos="9355" w:leader="none"/>
      </w:tabs>
    </w:pPr>
  </w:style>
  <w:style w:type="character" w:styleId="822" w:customStyle="1">
    <w:name w:val="Верхний колонтитул Знак"/>
    <w:basedOn w:val="810"/>
    <w:link w:val="821"/>
    <w:rPr>
      <w:sz w:val="24"/>
    </w:rPr>
  </w:style>
  <w:style w:type="paragraph" w:styleId="823">
    <w:name w:val="Footer"/>
    <w:basedOn w:val="806"/>
    <w:link w:val="824"/>
    <w:pPr>
      <w:tabs>
        <w:tab w:val="center" w:pos="4677" w:leader="none"/>
        <w:tab w:val="right" w:pos="9355" w:leader="none"/>
      </w:tabs>
    </w:pPr>
  </w:style>
  <w:style w:type="character" w:styleId="824" w:customStyle="1">
    <w:name w:val="Нижний колонтитул Знак"/>
    <w:basedOn w:val="810"/>
    <w:link w:val="823"/>
    <w:rPr>
      <w:sz w:val="24"/>
    </w:rPr>
  </w:style>
  <w:style w:type="character" w:styleId="825">
    <w:name w:val="Strong"/>
    <w:uiPriority w:val="22"/>
    <w:qFormat/>
    <w:rPr>
      <w:b/>
      <w:bCs/>
    </w:rPr>
  </w:style>
  <w:style w:type="paragraph" w:styleId="826">
    <w:name w:val="HTML Preformatted"/>
    <w:basedOn w:val="806"/>
    <w:link w:val="827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character" w:styleId="827" w:customStyle="1">
    <w:name w:val="Стандартный HTML Знак"/>
    <w:basedOn w:val="810"/>
    <w:link w:val="826"/>
    <w:uiPriority w:val="99"/>
    <w:rPr>
      <w:rFonts w:ascii="Courier New" w:hAnsi="Courier New" w:cs="Courier New"/>
    </w:rPr>
  </w:style>
  <w:style w:type="paragraph" w:styleId="8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29" w:customStyle="1">
    <w:name w:val="msonormal_mailru_css_attribute_postfix"/>
    <w:basedOn w:val="806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info@ecohim.ru" TargetMode="External"/><Relationship Id="rId3" Type="http://schemas.openxmlformats.org/officeDocument/2006/relationships/hyperlink" Target="http://www.ecohim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ECROS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Novikov</dc:creator>
  <cp:lastModifiedBy>Андрей Печеневский</cp:lastModifiedBy>
  <cp:revision>3</cp:revision>
  <dcterms:created xsi:type="dcterms:W3CDTF">2026-01-16T07:46:00Z</dcterms:created>
  <dcterms:modified xsi:type="dcterms:W3CDTF">2026-01-19T10:45:29Z</dcterms:modified>
</cp:coreProperties>
</file>